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1" w:before="158" w:after="158"/>
        <w:jc w:val="start"/>
        <w:rPr>
          <w:rFonts w:ascii="Arial" w:hAnsi="Arial"/>
        </w:rPr>
      </w:pPr>
      <w:bookmarkStart w:id="0" w:name="analyser_les_avantages_spécifique_3935aa"/>
      <w:r>
        <w:rPr>
          <w:rFonts w:eastAsia="inter" w:cs="inter" w:ascii="Arial" w:hAnsi="Arial"/>
          <w:b/>
          <w:color w:val="000000"/>
          <w:sz w:val="39"/>
        </w:rPr>
        <w:t>Analyser les avantages spécifiques du journalisme participatif</w:t>
      </w:r>
      <w:bookmarkEnd w:id="0"/>
    </w:p>
    <w:p>
      <w:pPr>
        <w:pStyle w:val="Normal"/>
        <w:spacing w:lineRule="auto" w:line="360" w:before="0" w:after="210"/>
        <w:rPr>
          <w:rFonts w:ascii="Arial" w:hAnsi="Arial" w:eastAsia="inter" w:cs="inter"/>
          <w:color w:val="000000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</w:r>
    </w:p>
    <w:p>
      <w:pPr>
        <w:pStyle w:val="Normal"/>
        <w:spacing w:lineRule="auto" w:line="360" w:before="0" w:after="210"/>
        <w:rPr>
          <w:rFonts w:ascii="Arial" w:hAnsi="Arial" w:eastAsia="inter" w:cs="inter"/>
          <w:color w:val="000000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Le journalisme participatif offre des avantages spécifiques qui enrichissent la production et la diffusion de l’information moderne.</w:t>
      </w:r>
    </w:p>
    <w:p>
      <w:pPr>
        <w:pStyle w:val="Normal"/>
        <w:spacing w:lineRule="auto" w:line="360" w:before="315" w:after="105"/>
        <w:ind w:start="-30"/>
        <w:jc w:val="start"/>
        <w:rPr>
          <w:rFonts w:ascii="Arial" w:hAnsi="Arial"/>
          <w:sz w:val="30"/>
          <w:szCs w:val="30"/>
        </w:rPr>
      </w:pPr>
      <w:bookmarkStart w:id="1" w:name="diversité_et_pluralité_des_voix"/>
      <w:r>
        <w:rPr>
          <w:rFonts w:eastAsia="inter" w:cs="inter" w:ascii="Arial" w:hAnsi="Arial"/>
          <w:b/>
          <w:color w:val="000000"/>
          <w:sz w:val="30"/>
          <w:szCs w:val="30"/>
        </w:rPr>
        <w:t>Diversité et pluralité des voix</w:t>
      </w:r>
      <w:bookmarkEnd w:id="1"/>
    </w:p>
    <w:p>
      <w:pPr>
        <w:pStyle w:val="Normal"/>
        <w:numPr>
          <w:ilvl w:val="0"/>
          <w:numId w:val="1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Il favorise l’expression des voix sous-représentées, particulièrement celles de minorités, d’habitants des zones rurales ou de personnes en situation de précarité.</w:t>
      </w:r>
    </w:p>
    <w:p>
      <w:pPr>
        <w:pStyle w:val="Normal"/>
        <w:numPr>
          <w:ilvl w:val="0"/>
          <w:numId w:val="1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Permet d’aborder des problématiques locales, communautaires ou spécifiques, souvent ignorées par les grands médias.</w:t>
      </w:r>
    </w:p>
    <w:p>
      <w:pPr>
        <w:pStyle w:val="Normal"/>
        <w:spacing w:lineRule="auto" w:line="360" w:before="315" w:after="105"/>
        <w:ind w:start="-30"/>
        <w:jc w:val="start"/>
        <w:rPr>
          <w:rFonts w:ascii="Arial" w:hAnsi="Arial"/>
          <w:sz w:val="30"/>
          <w:szCs w:val="30"/>
        </w:rPr>
      </w:pPr>
      <w:bookmarkStart w:id="2" w:name="rapidité_et_proximité_dans_la_couverture"/>
      <w:r>
        <w:rPr>
          <w:rFonts w:eastAsia="inter" w:cs="inter" w:ascii="Arial" w:hAnsi="Arial"/>
          <w:b/>
          <w:color w:val="000000"/>
          <w:sz w:val="30"/>
          <w:szCs w:val="30"/>
        </w:rPr>
        <w:t>Rapidité et proximité dans la couverture</w:t>
      </w:r>
      <w:bookmarkEnd w:id="2"/>
    </w:p>
    <w:p>
      <w:pPr>
        <w:pStyle w:val="Normal"/>
        <w:numPr>
          <w:ilvl w:val="0"/>
          <w:numId w:val="2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La réactivité des citoyens sur le terrain permet la couverture immédiate d’événements (manifestations, incidents, initiatives locales).</w:t>
      </w:r>
    </w:p>
    <w:p>
      <w:pPr>
        <w:pStyle w:val="Normal"/>
        <w:numPr>
          <w:ilvl w:val="0"/>
          <w:numId w:val="2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Les reporters citoyens peuvent documenter ce qui se passe dans leur environnement, offrant des points de vue de proximité et d’authenticité.</w:t>
      </w:r>
    </w:p>
    <w:p>
      <w:pPr>
        <w:pStyle w:val="Normal"/>
        <w:spacing w:lineRule="auto" w:line="360" w:before="315" w:after="105"/>
        <w:ind w:start="-30"/>
        <w:jc w:val="start"/>
        <w:rPr>
          <w:rFonts w:ascii="Arial" w:hAnsi="Arial"/>
          <w:sz w:val="30"/>
          <w:szCs w:val="30"/>
        </w:rPr>
      </w:pPr>
      <w:bookmarkStart w:id="3" w:name="contribution_à_l_enrichissement_d_2ea2eb"/>
      <w:r>
        <w:rPr>
          <w:rFonts w:eastAsia="inter" w:cs="inter" w:ascii="Arial" w:hAnsi="Arial"/>
          <w:b/>
          <w:color w:val="000000"/>
          <w:sz w:val="30"/>
          <w:szCs w:val="30"/>
        </w:rPr>
        <w:t>Contribution à l’enrichissement du débat public</w:t>
      </w:r>
      <w:bookmarkEnd w:id="3"/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Le journalisme participatif stimule le dialogue et la réflexion sur des enjeux sociaux, politiques ou environnementaux, notamment via des forums numériques et des espaces d’échange dédiés.</w:t>
      </w:r>
    </w:p>
    <w:p>
      <w:pPr>
        <w:pStyle w:val="Normal"/>
        <w:numPr>
          <w:ilvl w:val="0"/>
          <w:numId w:val="3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La multiplication des sources renforce la qualité du débat démocratique.</w:t>
      </w:r>
    </w:p>
    <w:p>
      <w:pPr>
        <w:pStyle w:val="Normal"/>
        <w:spacing w:lineRule="auto" w:line="360" w:before="315" w:after="105"/>
        <w:ind w:hanging="0" w:start="0"/>
        <w:jc w:val="start"/>
        <w:rPr>
          <w:rFonts w:ascii="Arial" w:hAnsi="Arial" w:eastAsia="inter" w:cs="inter"/>
          <w:b/>
          <w:color w:val="000000"/>
          <w:sz w:val="30"/>
          <w:szCs w:val="30"/>
        </w:rPr>
      </w:pPr>
      <w:r>
        <w:rPr>
          <w:rFonts w:eastAsia="inter" w:cs="inter" w:ascii="Arial" w:hAnsi="Arial"/>
          <w:b/>
          <w:color w:val="000000"/>
          <w:sz w:val="30"/>
          <w:szCs w:val="30"/>
        </w:rPr>
      </w:r>
    </w:p>
    <w:p>
      <w:pPr>
        <w:pStyle w:val="Normal"/>
        <w:spacing w:lineRule="auto" w:line="360" w:before="315" w:after="105"/>
        <w:ind w:hanging="0" w:start="0"/>
        <w:jc w:val="start"/>
        <w:rPr>
          <w:rFonts w:ascii="Arial" w:hAnsi="Arial" w:eastAsia="inter" w:cs="inter"/>
          <w:b/>
          <w:color w:val="000000"/>
          <w:sz w:val="30"/>
          <w:szCs w:val="30"/>
        </w:rPr>
      </w:pPr>
      <w:bookmarkStart w:id="4" w:name="investigation_et_fact_checking_co_dfe3b8"/>
      <w:r>
        <w:rPr>
          <w:rFonts w:eastAsia="inter" w:cs="inter" w:ascii="Arial" w:hAnsi="Arial"/>
          <w:b/>
          <w:color w:val="000000"/>
          <w:sz w:val="30"/>
          <w:szCs w:val="30"/>
        </w:rPr>
        <w:t>Investigation et fact-checking collaboratifs</w:t>
      </w:r>
      <w:bookmarkEnd w:id="4"/>
    </w:p>
    <w:p>
      <w:pPr>
        <w:pStyle w:val="Normal"/>
        <w:numPr>
          <w:ilvl w:val="0"/>
          <w:numId w:val="4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Il permet des enquêtes citoyennes sur des sujets d’intérêt général, avec la possibilité de croiser les informations entre plusieurs participants et d’utiliser des outils collaboratifs pour la vérification des faits.</w:t>
      </w:r>
    </w:p>
    <w:p>
      <w:pPr>
        <w:pStyle w:val="Normal"/>
        <w:numPr>
          <w:ilvl w:val="0"/>
          <w:numId w:val="4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Un grand nombre de collectifs de fact-checking utilisent l’intelligence collective pour détecter et signaler les contenus douteux sur le web.</w:t>
      </w:r>
    </w:p>
    <w:p>
      <w:pPr>
        <w:pStyle w:val="Normal"/>
        <w:spacing w:lineRule="auto" w:line="360" w:before="315" w:after="105"/>
        <w:ind w:start="-30"/>
        <w:jc w:val="start"/>
        <w:rPr>
          <w:rFonts w:ascii="Arial" w:hAnsi="Arial"/>
          <w:sz w:val="30"/>
          <w:szCs w:val="30"/>
        </w:rPr>
      </w:pPr>
      <w:bookmarkStart w:id="5" w:name="synergie_avec_les_médias_traditionnels"/>
      <w:r>
        <w:rPr>
          <w:rFonts w:eastAsia="inter" w:cs="inter" w:ascii="Arial" w:hAnsi="Arial"/>
          <w:b/>
          <w:color w:val="000000"/>
          <w:sz w:val="30"/>
          <w:szCs w:val="30"/>
        </w:rPr>
        <w:t>Synergie avec les médias traditionnels</w:t>
      </w:r>
      <w:bookmarkEnd w:id="5"/>
    </w:p>
    <w:p>
      <w:pPr>
        <w:pStyle w:val="Normal"/>
        <w:numPr>
          <w:ilvl w:val="0"/>
          <w:numId w:val="5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Les médias professionnels intègrent de plus en plus la réactivité et l’ancrage territorial des reporters citoyens pour enrichir leurs enquêtes et reportages.</w:t>
      </w:r>
    </w:p>
    <w:p>
      <w:pPr>
        <w:pStyle w:val="Normal"/>
        <w:numPr>
          <w:ilvl w:val="0"/>
          <w:numId w:val="5"/>
        </w:numPr>
        <w:spacing w:lineRule="auto" w:line="360" w:before="105" w:after="105"/>
        <w:rPr>
          <w:rFonts w:ascii="Arial" w:hAnsi="Arial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Cette alliance donne visibilité et crédibilité aux contenus citoyens tout en améliorant la couverture de l’actualité locale.</w:t>
      </w:r>
    </w:p>
    <w:p>
      <w:pPr>
        <w:pStyle w:val="Normal"/>
        <w:spacing w:lineRule="auto" w:line="360" w:before="0" w:after="210"/>
        <w:rPr>
          <w:rFonts w:ascii="Arial" w:hAnsi="Arial" w:eastAsia="inter" w:cs="inter"/>
          <w:color w:val="000000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</w:r>
    </w:p>
    <w:p>
      <w:pPr>
        <w:pStyle w:val="Normal"/>
        <w:spacing w:lineRule="auto" w:line="360" w:before="0" w:after="210"/>
        <w:rPr>
          <w:rFonts w:ascii="Arial" w:hAnsi="Arial" w:eastAsia="inter" w:cs="inter"/>
          <w:color w:val="000000"/>
          <w:sz w:val="26"/>
          <w:szCs w:val="26"/>
        </w:rPr>
      </w:pPr>
      <w:r>
        <w:rPr>
          <w:rFonts w:eastAsia="inter" w:cs="inter" w:ascii="Arial" w:hAnsi="Arial"/>
          <w:color w:val="000000"/>
          <w:sz w:val="26"/>
          <w:szCs w:val="26"/>
        </w:rPr>
        <w:t>En somme, le journalisme participatif répond à la recherche d’une information plus diversifiée, rapide, contextualisée et démocratique, tout en valorisant l’expertise et le regard du citoyen sur la société.</w:t>
        <w:br/>
      </w:r>
    </w:p>
    <w:p>
      <w:pPr>
        <w:pStyle w:val="Normal"/>
        <w:spacing w:lineRule="auto" w:line="360" w:before="0" w:after="120"/>
        <w:rPr>
          <w:rFonts w:eastAsia="inter" w:cs="inter"/>
          <w:color w:val="000000"/>
          <w:sz w:val="18"/>
        </w:rPr>
      </w:pPr>
      <w:r>
        <w:rPr>
          <w:rFonts w:ascii="Arial" w:hAnsi="Arial"/>
        </w:rPr>
      </w:r>
    </w:p>
    <w:sectPr>
      <w:type w:val="nextPage"/>
      <w:pgSz w:w="12240" w:h="15840"/>
      <w:pgMar w:left="1365" w:right="1365" w:gutter="0" w:header="0" w:top="1365" w:footer="0" w:bottom="13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Consola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900"/>
        </w:tabs>
        <w:ind w:star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900"/>
        </w:tabs>
        <w:ind w:star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900"/>
        </w:tabs>
        <w:ind w:star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900"/>
        </w:tabs>
        <w:ind w:star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900"/>
        </w:tabs>
        <w:ind w:start="5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" w:cs="" w:cstheme="minorBidi" w:eastAsiaTheme="minorHAnsi" w:hAnsiTheme="minorHAnsi"/>
        <w:sz w:val="21"/>
        <w:szCs w:val="22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tLeast" w:line="240" w:before="0" w:after="120"/>
      <w:jc w:val="start"/>
    </w:pPr>
    <w:rPr>
      <w:rFonts w:ascii="Georgia" w:hAnsi="Georgia" w:eastAsia="" w:cs="" w:cstheme="minorBidi" w:eastAsiaTheme="minorHAnsi" w:hAnsiTheme="minorHAnsi"/>
      <w:color w:val="auto"/>
      <w:kern w:val="0"/>
      <w:sz w:val="21"/>
      <w:szCs w:val="22"/>
      <w:lang w:val="fr-FR" w:eastAsia="en-US" w:bidi="ar-SA"/>
    </w:rPr>
  </w:style>
  <w:style w:type="character" w:styleId="VerbatimChar" w:customStyle="1">
    <w:name w:val="Verbatim Char"/>
    <w:qFormat/>
    <w:rPr>
      <w:rFonts w:ascii="Consolas" w:hAnsi="Consolas"/>
      <w:sz w:val="22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LibreOffice/25.8.1.1$Windows_X86_64 LibreOffice_project/54047653041915e595ad4e45cccea684809c77b5</Application>
  <AppVersion>15.0000</AppVersion>
  <Pages>2</Pages>
  <Words>286</Words>
  <Characters>1802</Characters>
  <CharactersWithSpaces>2061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2025-10-19T18:22:43Z</dcterms:created>
  <dc:creator>html-to-docx</dc:creator>
  <dc:description/>
  <cp:keywords>html-to-docx</cp:keywords>
  <dc:language>en-US</dc:language>
  <cp:lastModifiedBy/>
  <dcterms:modified xsi:type="dcterms:W3CDTF">2025-10-19T20:58:23Z</dcterms:modified>
  <cp:revision>3</cp:revision>
  <dc:subject/>
  <dc:title/>
</cp:coreProperties>
</file>